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знать принципы междисциплинарного синтеза в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ПК-10.4 уметь аргументированно формировать собственное суждение и оценку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ПК-10.6 уметь определять стратегии своего профессионального и личностного саморазвития, составлять программу саморазвития и самокоррекции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тенденции развития современной науки и образования и перспективные направления развития исследований в иностранного языка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оценивать качество собственного исследования и при необходимости проводить коррекцию исследования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самостоятельно проводить  исследование в предметной области и в области начального образования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w:t>
            </w:r>
          </w:p>
          <w:p>
            <w:pPr>
              <w:jc w:val="left"/>
              <w:spacing w:after="0" w:line="240" w:lineRule="auto"/>
              <w:rPr>
                <w:sz w:val="24"/>
                <w:szCs w:val="24"/>
              </w:rPr>
            </w:pPr>
            <w:r>
              <w:rPr>
                <w:rFonts w:ascii="Times New Roman" w:hAnsi="Times New Roman" w:cs="Times New Roman"/>
                <w:color w:val="#000000"/>
                <w:sz w:val="24"/>
                <w:szCs w:val="24"/>
              </w:rPr>
              <w:t> за установленное время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w:t>
            </w:r>
          </w:p>
          <w:p>
            <w:pPr>
              <w:jc w:val="left"/>
              <w:spacing w:after="0" w:line="240" w:lineRule="auto"/>
              <w:rPr>
                <w:sz w:val="24"/>
                <w:szCs w:val="24"/>
              </w:rPr>
            </w:pPr>
            <w:r>
              <w:rPr>
                <w:rFonts w:ascii="Times New Roman" w:hAnsi="Times New Roman" w:cs="Times New Roman"/>
                <w:color w:val="#000000"/>
                <w:sz w:val="24"/>
                <w:szCs w:val="24"/>
              </w:rPr>
              <w:t>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ПК-10, ПК-11, УК-2</w:t>
            </w:r>
          </w:p>
        </w:tc>
      </w:tr>
      <w:tr>
        <w:trPr>
          <w:trHeight w:hRule="exact" w:val="138.9161"/>
        </w:trPr>
        <w:tc>
          <w:tcPr>
            <w:tcW w:w="3970" w:type="dxa"/>
          </w:tcPr>
          <w:p/>
        </w:tc>
        <w:tc>
          <w:tcPr>
            <w:tcW w:w="4679" w:type="dxa"/>
          </w:tcPr>
          <w:p/>
        </w:tc>
        <w:tc>
          <w:tcPr>
            <w:tcW w:w="993" w:type="dxa"/>
          </w:tcPr>
          <w:p/>
        </w:tc>
      </w:tr>
      <w:tr>
        <w:trPr>
          <w:trHeight w:hRule="exact" w:val="713.24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48.19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2024-2025_ФГОС3++2024_Бак-ОФО-ПО2(НОиИнф)(24)_plx_Методология и методы педагогического исследования</dc:title>
  <dc:creator>FastReport.NET</dc:creator>
</cp:coreProperties>
</file>